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EDD3" w14:textId="17686805" w:rsidR="00A7784F" w:rsidRPr="006D41E9" w:rsidRDefault="005145D7" w:rsidP="00CF20C6">
      <w:pPr>
        <w:rPr>
          <w:rFonts w:hint="eastAsia"/>
          <w:sz w:val="22"/>
          <w:szCs w:val="22"/>
        </w:rPr>
      </w:pPr>
      <w:r w:rsidRPr="006D41E9">
        <w:rPr>
          <w:color w:val="11123F"/>
          <w:sz w:val="22"/>
          <w:szCs w:val="22"/>
        </w:rPr>
        <w:t>Politsei- ja Piirivalveamet</w:t>
      </w:r>
    </w:p>
    <w:p w14:paraId="558E6B0D" w14:textId="77777777" w:rsidR="00A7784F" w:rsidRPr="006D41E9" w:rsidRDefault="005145D7">
      <w:pPr>
        <w:rPr>
          <w:rFonts w:hint="eastAsia"/>
          <w:sz w:val="22"/>
          <w:szCs w:val="22"/>
        </w:rPr>
      </w:pPr>
      <w:r w:rsidRPr="006D41E9">
        <w:rPr>
          <w:color w:val="11123F"/>
          <w:sz w:val="22"/>
          <w:szCs w:val="22"/>
        </w:rPr>
        <w:t>Pärnu mnt 139, 15060 Tallinn</w:t>
      </w:r>
    </w:p>
    <w:p w14:paraId="53ADC2CA" w14:textId="77777777" w:rsidR="00A7784F" w:rsidRPr="006D41E9" w:rsidRDefault="005145D7">
      <w:pPr>
        <w:rPr>
          <w:rFonts w:hint="eastAsia"/>
          <w:sz w:val="22"/>
          <w:szCs w:val="22"/>
        </w:rPr>
      </w:pPr>
      <w:r w:rsidRPr="006D41E9">
        <w:rPr>
          <w:rStyle w:val="InternetLink"/>
          <w:color w:val="11123F"/>
          <w:sz w:val="22"/>
          <w:szCs w:val="22"/>
        </w:rPr>
        <w:t>ppa@politsei.ee</w:t>
      </w:r>
    </w:p>
    <w:p w14:paraId="4C169CE5" w14:textId="77777777" w:rsidR="00A7784F" w:rsidRPr="006D41E9" w:rsidRDefault="00A7784F">
      <w:pPr>
        <w:rPr>
          <w:rFonts w:hint="eastAsia"/>
          <w:color w:val="11123F"/>
          <w:sz w:val="22"/>
          <w:szCs w:val="22"/>
        </w:rPr>
      </w:pPr>
    </w:p>
    <w:p w14:paraId="4CB33445" w14:textId="77777777" w:rsidR="00A7784F" w:rsidRPr="006D41E9" w:rsidRDefault="00A7784F">
      <w:pPr>
        <w:rPr>
          <w:rFonts w:hint="eastAsia"/>
          <w:b/>
          <w:bCs/>
          <w:color w:val="11123F"/>
          <w:sz w:val="22"/>
          <w:szCs w:val="22"/>
        </w:rPr>
      </w:pPr>
    </w:p>
    <w:p w14:paraId="11E91BA7" w14:textId="113EB542" w:rsidR="00A7784F" w:rsidRPr="006D41E9" w:rsidRDefault="005145D7">
      <w:pPr>
        <w:rPr>
          <w:rFonts w:hint="eastAsia"/>
          <w:b/>
          <w:bCs/>
          <w:color w:val="11123F"/>
          <w:sz w:val="22"/>
          <w:szCs w:val="22"/>
        </w:rPr>
      </w:pPr>
      <w:r w:rsidRPr="006D41E9">
        <w:rPr>
          <w:b/>
          <w:bCs/>
          <w:color w:val="11123F"/>
          <w:sz w:val="22"/>
          <w:szCs w:val="22"/>
        </w:rPr>
        <w:t>T</w:t>
      </w:r>
      <w:r w:rsidR="00536577" w:rsidRPr="006D41E9">
        <w:rPr>
          <w:b/>
          <w:bCs/>
          <w:color w:val="11123F"/>
          <w:sz w:val="22"/>
          <w:szCs w:val="22"/>
        </w:rPr>
        <w:t xml:space="preserve">aotlus </w:t>
      </w:r>
      <w:r w:rsidR="00A25B62" w:rsidRPr="006D41E9">
        <w:rPr>
          <w:b/>
          <w:bCs/>
          <w:color w:val="11123F"/>
          <w:sz w:val="22"/>
          <w:szCs w:val="22"/>
        </w:rPr>
        <w:t xml:space="preserve">merepäästekaater </w:t>
      </w:r>
      <w:bookmarkStart w:id="0" w:name="_Hlk145520334"/>
      <w:proofErr w:type="spellStart"/>
      <w:r w:rsidR="00385590" w:rsidRPr="006D41E9">
        <w:rPr>
          <w:b/>
          <w:bCs/>
          <w:color w:val="11123F"/>
          <w:sz w:val="22"/>
          <w:szCs w:val="22"/>
        </w:rPr>
        <w:t>Boomeranger</w:t>
      </w:r>
      <w:proofErr w:type="spellEnd"/>
      <w:r w:rsidR="00385590" w:rsidRPr="006D41E9">
        <w:rPr>
          <w:b/>
          <w:bCs/>
          <w:color w:val="11123F"/>
          <w:sz w:val="22"/>
          <w:szCs w:val="22"/>
        </w:rPr>
        <w:t xml:space="preserve"> RIB C-640</w:t>
      </w:r>
      <w:r w:rsidR="00385590" w:rsidRPr="006D41E9">
        <w:rPr>
          <w:b/>
          <w:bCs/>
          <w:color w:val="11123F"/>
          <w:sz w:val="22"/>
          <w:szCs w:val="22"/>
        </w:rPr>
        <w:t xml:space="preserve"> taastetöödeks</w:t>
      </w:r>
      <w:bookmarkEnd w:id="0"/>
    </w:p>
    <w:p w14:paraId="674A0660" w14:textId="77777777" w:rsidR="004F58D9" w:rsidRPr="006D41E9" w:rsidRDefault="004F58D9">
      <w:pPr>
        <w:rPr>
          <w:rFonts w:hint="eastAsia"/>
          <w:sz w:val="22"/>
          <w:szCs w:val="22"/>
        </w:rPr>
      </w:pPr>
    </w:p>
    <w:p w14:paraId="36D68E51" w14:textId="44E2D287" w:rsidR="00A7784F" w:rsidRPr="006D41E9" w:rsidRDefault="00A25B62">
      <w:pPr>
        <w:jc w:val="right"/>
        <w:rPr>
          <w:rFonts w:hint="eastAsia"/>
          <w:sz w:val="22"/>
          <w:szCs w:val="22"/>
        </w:rPr>
      </w:pPr>
      <w:r w:rsidRPr="006D41E9">
        <w:rPr>
          <w:color w:val="11123F"/>
          <w:sz w:val="22"/>
          <w:szCs w:val="22"/>
        </w:rPr>
        <w:t>13</w:t>
      </w:r>
      <w:r w:rsidR="005145D7" w:rsidRPr="006D41E9">
        <w:rPr>
          <w:color w:val="11123F"/>
          <w:sz w:val="22"/>
          <w:szCs w:val="22"/>
        </w:rPr>
        <w:t xml:space="preserve">. </w:t>
      </w:r>
      <w:r w:rsidRPr="006D41E9">
        <w:rPr>
          <w:color w:val="11123F"/>
          <w:sz w:val="22"/>
          <w:szCs w:val="22"/>
        </w:rPr>
        <w:t>september</w:t>
      </w:r>
      <w:r w:rsidR="005145D7" w:rsidRPr="006D41E9">
        <w:rPr>
          <w:color w:val="11123F"/>
          <w:sz w:val="22"/>
          <w:szCs w:val="22"/>
        </w:rPr>
        <w:t xml:space="preserve"> 202</w:t>
      </w:r>
      <w:r w:rsidRPr="006D41E9">
        <w:rPr>
          <w:color w:val="11123F"/>
          <w:sz w:val="22"/>
          <w:szCs w:val="22"/>
        </w:rPr>
        <w:t>3</w:t>
      </w:r>
    </w:p>
    <w:p w14:paraId="601E7930" w14:textId="77777777" w:rsidR="00A7784F" w:rsidRPr="006D41E9" w:rsidRDefault="00A7784F">
      <w:pPr>
        <w:jc w:val="right"/>
        <w:rPr>
          <w:rFonts w:hint="eastAsia"/>
          <w:b/>
          <w:bCs/>
          <w:color w:val="11123F"/>
          <w:sz w:val="22"/>
          <w:szCs w:val="22"/>
        </w:rPr>
      </w:pPr>
    </w:p>
    <w:p w14:paraId="0C1C1662" w14:textId="5B392B71" w:rsidR="00A7784F" w:rsidRPr="006D41E9" w:rsidRDefault="005145D7">
      <w:pPr>
        <w:rPr>
          <w:rFonts w:hint="eastAsia"/>
          <w:sz w:val="22"/>
          <w:szCs w:val="22"/>
        </w:rPr>
      </w:pPr>
      <w:r w:rsidRPr="006D41E9">
        <w:rPr>
          <w:color w:val="11123F"/>
          <w:sz w:val="22"/>
          <w:szCs w:val="22"/>
        </w:rPr>
        <w:t xml:space="preserve">Lp. </w:t>
      </w:r>
      <w:proofErr w:type="spellStart"/>
      <w:r w:rsidRPr="006D41E9">
        <w:rPr>
          <w:color w:val="11123F"/>
          <w:sz w:val="22"/>
          <w:szCs w:val="22"/>
        </w:rPr>
        <w:t>E</w:t>
      </w:r>
      <w:r w:rsidR="00FC5302" w:rsidRPr="006D41E9">
        <w:rPr>
          <w:color w:val="11123F"/>
          <w:sz w:val="22"/>
          <w:szCs w:val="22"/>
        </w:rPr>
        <w:t>gert</w:t>
      </w:r>
      <w:proofErr w:type="spellEnd"/>
      <w:r w:rsidR="00FC5302" w:rsidRPr="006D41E9">
        <w:rPr>
          <w:color w:val="11123F"/>
          <w:sz w:val="22"/>
          <w:szCs w:val="22"/>
        </w:rPr>
        <w:t xml:space="preserve"> </w:t>
      </w:r>
      <w:proofErr w:type="spellStart"/>
      <w:r w:rsidR="00FC5302" w:rsidRPr="006D41E9">
        <w:rPr>
          <w:color w:val="11123F"/>
          <w:sz w:val="22"/>
          <w:szCs w:val="22"/>
        </w:rPr>
        <w:t>Belitšev</w:t>
      </w:r>
      <w:proofErr w:type="spellEnd"/>
      <w:r w:rsidRPr="006D41E9">
        <w:rPr>
          <w:color w:val="11123F"/>
          <w:sz w:val="22"/>
          <w:szCs w:val="22"/>
        </w:rPr>
        <w:t>!</w:t>
      </w:r>
    </w:p>
    <w:p w14:paraId="2C936F51" w14:textId="77777777" w:rsidR="00A7784F" w:rsidRPr="006D41E9" w:rsidRDefault="00A7784F">
      <w:pPr>
        <w:jc w:val="both"/>
        <w:rPr>
          <w:rFonts w:hint="eastAsia"/>
          <w:color w:val="11123F"/>
          <w:sz w:val="22"/>
          <w:szCs w:val="22"/>
        </w:rPr>
      </w:pPr>
    </w:p>
    <w:p w14:paraId="4EDEA2BE" w14:textId="2E85C89A" w:rsidR="007B25B0" w:rsidRPr="006D41E9" w:rsidRDefault="00B20F5B">
      <w:pPr>
        <w:jc w:val="both"/>
        <w:rPr>
          <w:rFonts w:hint="eastAsia"/>
          <w:sz w:val="22"/>
          <w:szCs w:val="22"/>
        </w:rPr>
      </w:pPr>
      <w:r w:rsidRPr="006D41E9">
        <w:rPr>
          <w:sz w:val="22"/>
          <w:szCs w:val="22"/>
        </w:rPr>
        <w:t xml:space="preserve">Käesolevaga taotleb MTÜ Toila Merepääste toetust </w:t>
      </w:r>
      <w:r w:rsidR="002B192F" w:rsidRPr="006D41E9">
        <w:rPr>
          <w:sz w:val="22"/>
          <w:szCs w:val="22"/>
        </w:rPr>
        <w:t>merepääste</w:t>
      </w:r>
      <w:r w:rsidR="00385590" w:rsidRPr="006D41E9">
        <w:rPr>
          <w:sz w:val="22"/>
          <w:szCs w:val="22"/>
        </w:rPr>
        <w:t xml:space="preserve">kaater </w:t>
      </w:r>
      <w:proofErr w:type="spellStart"/>
      <w:r w:rsidR="00385590" w:rsidRPr="006D41E9">
        <w:rPr>
          <w:rFonts w:hint="eastAsia"/>
          <w:sz w:val="22"/>
          <w:szCs w:val="22"/>
        </w:rPr>
        <w:t>Boomeranger</w:t>
      </w:r>
      <w:proofErr w:type="spellEnd"/>
      <w:r w:rsidR="00385590" w:rsidRPr="006D41E9">
        <w:rPr>
          <w:rFonts w:hint="eastAsia"/>
          <w:sz w:val="22"/>
          <w:szCs w:val="22"/>
        </w:rPr>
        <w:t xml:space="preserve"> RIB C-640 taastetöödeks</w:t>
      </w:r>
      <w:r w:rsidR="00385590" w:rsidRPr="006D41E9">
        <w:rPr>
          <w:sz w:val="22"/>
          <w:szCs w:val="22"/>
        </w:rPr>
        <w:t xml:space="preserve"> </w:t>
      </w:r>
      <w:r w:rsidRPr="006D41E9">
        <w:rPr>
          <w:sz w:val="22"/>
          <w:szCs w:val="22"/>
        </w:rPr>
        <w:t xml:space="preserve">tulenevalt PPA peadirektor </w:t>
      </w:r>
      <w:proofErr w:type="spellStart"/>
      <w:r w:rsidR="00385590" w:rsidRPr="006D41E9">
        <w:rPr>
          <w:sz w:val="22"/>
          <w:szCs w:val="22"/>
        </w:rPr>
        <w:t>Egert</w:t>
      </w:r>
      <w:proofErr w:type="spellEnd"/>
      <w:r w:rsidR="00385590" w:rsidRPr="006D41E9">
        <w:rPr>
          <w:sz w:val="22"/>
          <w:szCs w:val="22"/>
        </w:rPr>
        <w:t xml:space="preserve"> </w:t>
      </w:r>
      <w:proofErr w:type="spellStart"/>
      <w:r w:rsidR="00A16458" w:rsidRPr="006D41E9">
        <w:rPr>
          <w:sz w:val="22"/>
          <w:szCs w:val="22"/>
        </w:rPr>
        <w:t>Belitšev</w:t>
      </w:r>
      <w:proofErr w:type="spellEnd"/>
      <w:r w:rsidR="00A16458" w:rsidRPr="006D41E9">
        <w:rPr>
          <w:sz w:val="22"/>
          <w:szCs w:val="22"/>
        </w:rPr>
        <w:t xml:space="preserve"> p</w:t>
      </w:r>
      <w:r w:rsidRPr="006D41E9">
        <w:rPr>
          <w:sz w:val="22"/>
          <w:szCs w:val="22"/>
        </w:rPr>
        <w:t xml:space="preserve">oolt </w:t>
      </w:r>
      <w:r w:rsidR="00A16458" w:rsidRPr="006D41E9">
        <w:rPr>
          <w:sz w:val="22"/>
          <w:szCs w:val="22"/>
        </w:rPr>
        <w:t xml:space="preserve">30.08.2023 nr 7-1/53-1 </w:t>
      </w:r>
      <w:r w:rsidRPr="006D41E9">
        <w:rPr>
          <w:sz w:val="22"/>
          <w:szCs w:val="22"/>
        </w:rPr>
        <w:t xml:space="preserve">väljakuulutatud taotlusvoorust. </w:t>
      </w:r>
    </w:p>
    <w:p w14:paraId="45337F64" w14:textId="75DC2A91" w:rsidR="007B25B0" w:rsidRPr="006D41E9" w:rsidRDefault="007B25B0">
      <w:pPr>
        <w:jc w:val="both"/>
        <w:rPr>
          <w:rFonts w:hint="eastAsia"/>
          <w:sz w:val="22"/>
          <w:szCs w:val="22"/>
        </w:rPr>
      </w:pPr>
    </w:p>
    <w:p w14:paraId="2244A7D2" w14:textId="3EE6F111" w:rsidR="00690E33" w:rsidRPr="006D41E9" w:rsidRDefault="00690E33">
      <w:pPr>
        <w:jc w:val="both"/>
        <w:rPr>
          <w:rFonts w:hint="eastAsia"/>
          <w:b/>
          <w:bCs/>
          <w:sz w:val="22"/>
          <w:szCs w:val="22"/>
          <w:u w:val="single"/>
        </w:rPr>
      </w:pPr>
      <w:r w:rsidRPr="006D41E9">
        <w:rPr>
          <w:b/>
          <w:bCs/>
          <w:sz w:val="22"/>
          <w:szCs w:val="22"/>
          <w:u w:val="single"/>
        </w:rPr>
        <w:t xml:space="preserve">Tegevuse eesmärk ja kirjeldus </w:t>
      </w:r>
    </w:p>
    <w:p w14:paraId="3CBAE17B" w14:textId="77777777" w:rsidR="00690E33" w:rsidRPr="006D41E9" w:rsidRDefault="00690E33">
      <w:pPr>
        <w:jc w:val="both"/>
        <w:rPr>
          <w:rFonts w:hint="eastAsia"/>
          <w:sz w:val="22"/>
          <w:szCs w:val="22"/>
        </w:rPr>
      </w:pPr>
    </w:p>
    <w:p w14:paraId="3233EC23" w14:textId="02DCA683" w:rsidR="007B25B0" w:rsidRDefault="006D41E9">
      <w:pPr>
        <w:jc w:val="both"/>
        <w:rPr>
          <w:sz w:val="22"/>
          <w:szCs w:val="22"/>
        </w:rPr>
      </w:pPr>
      <w:r w:rsidRPr="006D41E9">
        <w:rPr>
          <w:sz w:val="22"/>
          <w:szCs w:val="22"/>
        </w:rPr>
        <w:t>MTÜ Toila Merepääste kasutada on 2 merepäästekaatrit, millest esimene</w:t>
      </w:r>
      <w:r>
        <w:rPr>
          <w:sz w:val="22"/>
          <w:szCs w:val="22"/>
        </w:rPr>
        <w:t xml:space="preserve"> </w:t>
      </w:r>
      <w:r w:rsidRPr="006D41E9">
        <w:rPr>
          <w:sz w:val="22"/>
          <w:szCs w:val="22"/>
        </w:rPr>
        <w:t>on 2009. aastal Soome Merepäästeseltsilt saadud ning</w:t>
      </w:r>
      <w:r>
        <w:rPr>
          <w:sz w:val="22"/>
          <w:szCs w:val="22"/>
        </w:rPr>
        <w:t xml:space="preserve"> </w:t>
      </w:r>
      <w:r w:rsidRPr="006D41E9">
        <w:rPr>
          <w:sz w:val="22"/>
          <w:szCs w:val="22"/>
        </w:rPr>
        <w:t xml:space="preserve">2004. aastal ehitatud </w:t>
      </w:r>
      <w:proofErr w:type="spellStart"/>
      <w:r w:rsidRPr="006D41E9">
        <w:rPr>
          <w:sz w:val="22"/>
          <w:szCs w:val="22"/>
        </w:rPr>
        <w:t>Boomeranger</w:t>
      </w:r>
      <w:proofErr w:type="spellEnd"/>
      <w:r w:rsidRPr="006D41E9">
        <w:rPr>
          <w:sz w:val="22"/>
          <w:szCs w:val="22"/>
        </w:rPr>
        <w:t xml:space="preserve"> RIB C-640 VEGA ning teine 2020. aastal Inglismaalt RNLI-st (Royal National </w:t>
      </w:r>
      <w:proofErr w:type="spellStart"/>
      <w:r w:rsidRPr="006D41E9">
        <w:rPr>
          <w:sz w:val="22"/>
          <w:szCs w:val="22"/>
        </w:rPr>
        <w:t>Lifeboat</w:t>
      </w:r>
      <w:proofErr w:type="spellEnd"/>
      <w:r w:rsidRPr="006D41E9">
        <w:rPr>
          <w:sz w:val="22"/>
          <w:szCs w:val="22"/>
        </w:rPr>
        <w:t xml:space="preserve"> </w:t>
      </w:r>
      <w:proofErr w:type="spellStart"/>
      <w:r w:rsidRPr="006D41E9">
        <w:rPr>
          <w:sz w:val="22"/>
          <w:szCs w:val="22"/>
        </w:rPr>
        <w:t>Institution</w:t>
      </w:r>
      <w:proofErr w:type="spellEnd"/>
      <w:r w:rsidRPr="006D41E9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6D41E9">
        <w:rPr>
          <w:sz w:val="22"/>
          <w:szCs w:val="22"/>
        </w:rPr>
        <w:t>soetatud Atlantic 75 päästekaater. Mõlemad on head alused ning Ida-Viru rannikuvetes mereturvalisuse</w:t>
      </w:r>
      <w:r w:rsidR="00C53FCC">
        <w:rPr>
          <w:sz w:val="22"/>
          <w:szCs w:val="22"/>
        </w:rPr>
        <w:t xml:space="preserve"> </w:t>
      </w:r>
      <w:r w:rsidRPr="006D41E9">
        <w:rPr>
          <w:sz w:val="22"/>
          <w:szCs w:val="22"/>
        </w:rPr>
        <w:t>tagamise seisukohalt üliolulised. Kui britid teevad kõikidele alustele iga viie aasta tagant täieliku uuenduskuuri, vahetavad</w:t>
      </w:r>
      <w:r w:rsidR="00C53FCC">
        <w:rPr>
          <w:sz w:val="22"/>
          <w:szCs w:val="22"/>
        </w:rPr>
        <w:t xml:space="preserve"> </w:t>
      </w:r>
      <w:r w:rsidRPr="006D41E9">
        <w:rPr>
          <w:sz w:val="22"/>
          <w:szCs w:val="22"/>
        </w:rPr>
        <w:t>mootorid,</w:t>
      </w:r>
      <w:r w:rsidR="00C53FCC">
        <w:rPr>
          <w:sz w:val="22"/>
          <w:szCs w:val="22"/>
        </w:rPr>
        <w:t xml:space="preserve"> </w:t>
      </w:r>
      <w:r w:rsidRPr="006D41E9">
        <w:rPr>
          <w:sz w:val="22"/>
          <w:szCs w:val="22"/>
        </w:rPr>
        <w:t>pontoonid, elektroonika ja parandavad keret, siis meil sellised rahalised võimalused puuduvad.</w:t>
      </w:r>
      <w:r w:rsidR="00BE211F">
        <w:rPr>
          <w:sz w:val="22"/>
          <w:szCs w:val="22"/>
        </w:rPr>
        <w:t xml:space="preserve"> </w:t>
      </w:r>
      <w:r w:rsidRPr="006D41E9">
        <w:rPr>
          <w:sz w:val="22"/>
          <w:szCs w:val="22"/>
        </w:rPr>
        <w:t>Toila Merepääste on vastavalt võimalustele uuendanud päästekaater VEGA navigatsioonisüsteeme ning need on ka tänasel hetkel hindele 5.</w:t>
      </w:r>
      <w:r w:rsidR="00BE211F">
        <w:rPr>
          <w:sz w:val="22"/>
          <w:szCs w:val="22"/>
        </w:rPr>
        <w:t xml:space="preserve"> </w:t>
      </w:r>
      <w:r w:rsidRPr="006D41E9">
        <w:rPr>
          <w:sz w:val="22"/>
          <w:szCs w:val="22"/>
        </w:rPr>
        <w:t>Küll aga on päästekaatri kere ning pontoonid amortiseerunud ning vajavad suurt uuenduskuuri pärast 19 kasutusaastat. Aluse kerel on sees mikropraod, mis täidavad aluse ballasti veega ning enne päästekaatri kasutamist</w:t>
      </w:r>
      <w:r w:rsidR="00BE211F">
        <w:rPr>
          <w:sz w:val="22"/>
          <w:szCs w:val="22"/>
        </w:rPr>
        <w:t xml:space="preserve"> </w:t>
      </w:r>
      <w:r w:rsidRPr="006D41E9">
        <w:rPr>
          <w:sz w:val="22"/>
          <w:szCs w:val="22"/>
        </w:rPr>
        <w:t>tuleb raisata väärtuslikku aega, et</w:t>
      </w:r>
      <w:r w:rsidR="00BE211F">
        <w:rPr>
          <w:sz w:val="22"/>
          <w:szCs w:val="22"/>
        </w:rPr>
        <w:t xml:space="preserve"> </w:t>
      </w:r>
      <w:r w:rsidRPr="006D41E9">
        <w:rPr>
          <w:sz w:val="22"/>
          <w:szCs w:val="22"/>
        </w:rPr>
        <w:t xml:space="preserve">aluse pontoonid täis pumbata. Kahe päästekaatri olemasolu </w:t>
      </w:r>
      <w:r w:rsidR="00B65A8C">
        <w:rPr>
          <w:sz w:val="22"/>
          <w:szCs w:val="22"/>
        </w:rPr>
        <w:t xml:space="preserve">on </w:t>
      </w:r>
      <w:r w:rsidR="00517B9B">
        <w:rPr>
          <w:sz w:val="22"/>
          <w:szCs w:val="22"/>
        </w:rPr>
        <w:t>vajalik</w:t>
      </w:r>
      <w:r w:rsidR="00E145B4">
        <w:rPr>
          <w:sz w:val="22"/>
          <w:szCs w:val="22"/>
        </w:rPr>
        <w:t xml:space="preserve"> nii </w:t>
      </w:r>
      <w:r w:rsidR="00A81AE3">
        <w:rPr>
          <w:sz w:val="22"/>
          <w:szCs w:val="22"/>
        </w:rPr>
        <w:t>katkematu</w:t>
      </w:r>
      <w:r w:rsidR="00E145B4">
        <w:rPr>
          <w:sz w:val="22"/>
          <w:szCs w:val="22"/>
        </w:rPr>
        <w:t xml:space="preserve"> pä</w:t>
      </w:r>
      <w:r w:rsidR="00517B9B">
        <w:rPr>
          <w:sz w:val="22"/>
          <w:szCs w:val="22"/>
        </w:rPr>
        <w:t xml:space="preserve">ästevõimekuse tagamiseks kui ka </w:t>
      </w:r>
      <w:r w:rsidR="00F27393">
        <w:rPr>
          <w:sz w:val="22"/>
          <w:szCs w:val="22"/>
        </w:rPr>
        <w:t>õppuste- ja harjutuspäevade jaoks.</w:t>
      </w:r>
      <w:r w:rsidRPr="006D41E9">
        <w:rPr>
          <w:sz w:val="22"/>
          <w:szCs w:val="22"/>
        </w:rPr>
        <w:t xml:space="preserve"> Toila tegevuspiirkond asub kaugel riiklikest struktuuridest, mistõttu on üksuse </w:t>
      </w:r>
      <w:r w:rsidR="00F27393">
        <w:rPr>
          <w:sz w:val="22"/>
          <w:szCs w:val="22"/>
        </w:rPr>
        <w:t xml:space="preserve">pideva </w:t>
      </w:r>
      <w:r w:rsidRPr="006D41E9">
        <w:rPr>
          <w:sz w:val="22"/>
          <w:szCs w:val="22"/>
        </w:rPr>
        <w:t>võimekuse olemasolu olulise</w:t>
      </w:r>
      <w:r w:rsidR="00F27393">
        <w:rPr>
          <w:sz w:val="22"/>
          <w:szCs w:val="22"/>
        </w:rPr>
        <w:t xml:space="preserve"> </w:t>
      </w:r>
      <w:r w:rsidRPr="006D41E9">
        <w:rPr>
          <w:sz w:val="22"/>
          <w:szCs w:val="22"/>
        </w:rPr>
        <w:t xml:space="preserve">tähtsusega. </w:t>
      </w:r>
    </w:p>
    <w:p w14:paraId="39E25BEC" w14:textId="4EABA70E" w:rsidR="00817EB1" w:rsidRPr="006D41E9" w:rsidRDefault="008C51E8">
      <w:pPr>
        <w:jc w:val="both"/>
        <w:rPr>
          <w:sz w:val="22"/>
          <w:szCs w:val="22"/>
        </w:rPr>
      </w:pPr>
      <w:r>
        <w:rPr>
          <w:sz w:val="22"/>
          <w:szCs w:val="22"/>
        </w:rPr>
        <w:t>Uue merepäästekaatri ost ei ole mõistlik</w:t>
      </w:r>
      <w:r w:rsidR="00A81AE3">
        <w:rPr>
          <w:sz w:val="22"/>
          <w:szCs w:val="22"/>
        </w:rPr>
        <w:t>,</w:t>
      </w:r>
      <w:r w:rsidR="00DE4836" w:rsidRPr="00DE4836">
        <w:rPr>
          <w:sz w:val="22"/>
          <w:szCs w:val="22"/>
        </w:rPr>
        <w:t xml:space="preserve"> kuna tegemist on väga hea alusega ning ca paarikümnetuhande </w:t>
      </w:r>
      <w:proofErr w:type="spellStart"/>
      <w:r w:rsidR="00DE4836" w:rsidRPr="00DE4836">
        <w:rPr>
          <w:sz w:val="22"/>
          <w:szCs w:val="22"/>
        </w:rPr>
        <w:t>eurose</w:t>
      </w:r>
      <w:proofErr w:type="spellEnd"/>
      <w:r w:rsidR="00DE4836" w:rsidRPr="00DE4836">
        <w:rPr>
          <w:sz w:val="22"/>
          <w:szCs w:val="22"/>
        </w:rPr>
        <w:t xml:space="preserve"> uuenduskuuri läbimisega on alus järgmised 10+ aastat täiesti hästi kasutatav. Uus samaväärne </w:t>
      </w:r>
      <w:proofErr w:type="spellStart"/>
      <w:r w:rsidR="00DE4836" w:rsidRPr="00DE4836">
        <w:rPr>
          <w:sz w:val="22"/>
          <w:szCs w:val="22"/>
        </w:rPr>
        <w:t>Boomeranger</w:t>
      </w:r>
      <w:proofErr w:type="spellEnd"/>
      <w:r w:rsidR="00DE4836" w:rsidRPr="00DE4836">
        <w:rPr>
          <w:sz w:val="22"/>
          <w:szCs w:val="22"/>
        </w:rPr>
        <w:t xml:space="preserve"> C-640 </w:t>
      </w:r>
      <w:proofErr w:type="spellStart"/>
      <w:r w:rsidR="00DE4836" w:rsidRPr="00DE4836">
        <w:rPr>
          <w:sz w:val="22"/>
          <w:szCs w:val="22"/>
        </w:rPr>
        <w:t>päästekaatermaksab</w:t>
      </w:r>
      <w:proofErr w:type="spellEnd"/>
      <w:r w:rsidR="00DE4836" w:rsidRPr="00DE4836">
        <w:rPr>
          <w:sz w:val="22"/>
          <w:szCs w:val="22"/>
        </w:rPr>
        <w:t xml:space="preserve"> suurusjärgus 250 000 eurot.</w:t>
      </w:r>
      <w:r w:rsidR="00A81AE3">
        <w:rPr>
          <w:sz w:val="22"/>
          <w:szCs w:val="22"/>
        </w:rPr>
        <w:t xml:space="preserve"> </w:t>
      </w:r>
    </w:p>
    <w:p w14:paraId="17D6314B" w14:textId="77777777" w:rsidR="00817EB1" w:rsidRPr="006D41E9" w:rsidRDefault="00817EB1">
      <w:pPr>
        <w:jc w:val="both"/>
        <w:rPr>
          <w:sz w:val="22"/>
          <w:szCs w:val="22"/>
        </w:rPr>
      </w:pPr>
    </w:p>
    <w:p w14:paraId="6B8EB473" w14:textId="77777777" w:rsidR="00817EB1" w:rsidRPr="006D41E9" w:rsidRDefault="00817EB1">
      <w:pPr>
        <w:jc w:val="both"/>
        <w:rPr>
          <w:rFonts w:hint="eastAsia"/>
          <w:sz w:val="22"/>
          <w:szCs w:val="22"/>
        </w:rPr>
      </w:pPr>
    </w:p>
    <w:p w14:paraId="49C6D17E" w14:textId="77777777" w:rsidR="005758A5" w:rsidRPr="006D41E9" w:rsidRDefault="005758A5">
      <w:pPr>
        <w:jc w:val="both"/>
        <w:rPr>
          <w:rFonts w:hint="eastAsia"/>
          <w:b/>
          <w:bCs/>
          <w:sz w:val="22"/>
          <w:szCs w:val="22"/>
          <w:u w:val="single"/>
        </w:rPr>
      </w:pPr>
      <w:r w:rsidRPr="006D41E9">
        <w:rPr>
          <w:b/>
          <w:bCs/>
          <w:sz w:val="22"/>
          <w:szCs w:val="22"/>
          <w:u w:val="single"/>
        </w:rPr>
        <w:t xml:space="preserve">Taotletav summa </w:t>
      </w:r>
    </w:p>
    <w:p w14:paraId="4F3367F3" w14:textId="77777777" w:rsidR="005758A5" w:rsidRPr="006D41E9" w:rsidRDefault="005758A5">
      <w:pPr>
        <w:jc w:val="both"/>
        <w:rPr>
          <w:rFonts w:hint="eastAsia"/>
          <w:sz w:val="22"/>
          <w:szCs w:val="22"/>
        </w:rPr>
      </w:pPr>
    </w:p>
    <w:p w14:paraId="1A6DDAF7" w14:textId="6AC1CE24" w:rsidR="008A2CBB" w:rsidRDefault="002C3D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Taastetööde maksumus on </w:t>
      </w:r>
      <w:r w:rsidR="00C62176">
        <w:rPr>
          <w:sz w:val="22"/>
          <w:szCs w:val="22"/>
        </w:rPr>
        <w:t>21 945,50 eurot</w:t>
      </w:r>
      <w:r w:rsidR="005758A5" w:rsidRPr="006D41E9">
        <w:rPr>
          <w:sz w:val="22"/>
          <w:szCs w:val="22"/>
        </w:rPr>
        <w:t xml:space="preserve"> (ilma km-ta)</w:t>
      </w:r>
      <w:r w:rsidR="009B76F2">
        <w:rPr>
          <w:sz w:val="22"/>
          <w:szCs w:val="22"/>
        </w:rPr>
        <w:t xml:space="preserve">, </w:t>
      </w:r>
      <w:r w:rsidR="00007698">
        <w:rPr>
          <w:sz w:val="22"/>
          <w:szCs w:val="22"/>
        </w:rPr>
        <w:t>mis sisaldab kere ja värvitöid</w:t>
      </w:r>
      <w:r w:rsidR="000A488E">
        <w:rPr>
          <w:sz w:val="22"/>
          <w:szCs w:val="22"/>
        </w:rPr>
        <w:t xml:space="preserve"> ning</w:t>
      </w:r>
      <w:r w:rsidR="00007698">
        <w:rPr>
          <w:sz w:val="22"/>
          <w:szCs w:val="22"/>
        </w:rPr>
        <w:t xml:space="preserve"> uute pontoonide paigaldust</w:t>
      </w:r>
      <w:r w:rsidR="005758A5" w:rsidRPr="006D41E9">
        <w:rPr>
          <w:sz w:val="22"/>
          <w:szCs w:val="22"/>
        </w:rPr>
        <w:t>. MTÜ Toila Merepääste on käibemaksukohuslane (KMKR nr EE102054721)</w:t>
      </w:r>
      <w:r w:rsidR="00F87792">
        <w:rPr>
          <w:sz w:val="22"/>
          <w:szCs w:val="22"/>
        </w:rPr>
        <w:t>, seetõttu vaatame</w:t>
      </w:r>
      <w:r w:rsidR="00BF5746">
        <w:rPr>
          <w:sz w:val="22"/>
          <w:szCs w:val="22"/>
        </w:rPr>
        <w:t xml:space="preserve"> maksumust ilma käibemaksuta</w:t>
      </w:r>
      <w:r w:rsidR="005758A5" w:rsidRPr="006D41E9">
        <w:rPr>
          <w:sz w:val="22"/>
          <w:szCs w:val="22"/>
        </w:rPr>
        <w:t>.</w:t>
      </w:r>
      <w:r w:rsidR="00BF5746">
        <w:rPr>
          <w:sz w:val="22"/>
          <w:szCs w:val="22"/>
        </w:rPr>
        <w:t xml:space="preserve"> Alternatiivne hinnapakkumine oli </w:t>
      </w:r>
      <w:r w:rsidR="00A5758E">
        <w:rPr>
          <w:sz w:val="22"/>
          <w:szCs w:val="22"/>
        </w:rPr>
        <w:t>24 644,23 (ilma km-ta).</w:t>
      </w:r>
      <w:r w:rsidR="008A2CBB">
        <w:rPr>
          <w:sz w:val="22"/>
          <w:szCs w:val="22"/>
        </w:rPr>
        <w:t xml:space="preserve"> Mõlemad hinnapakkumised on taotlusele lisatud.</w:t>
      </w:r>
    </w:p>
    <w:p w14:paraId="2C58BD91" w14:textId="663F0778" w:rsidR="008A2CBB" w:rsidRDefault="008A2C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Taotlesime taastetööde finantseerimist </w:t>
      </w:r>
      <w:r w:rsidR="004E6B4B">
        <w:rPr>
          <w:sz w:val="22"/>
          <w:szCs w:val="22"/>
        </w:rPr>
        <w:t xml:space="preserve">ka </w:t>
      </w:r>
      <w:r w:rsidR="00034F3E">
        <w:rPr>
          <w:sz w:val="22"/>
          <w:szCs w:val="22"/>
        </w:rPr>
        <w:t xml:space="preserve">PRIA </w:t>
      </w:r>
      <w:r w:rsidR="006D2276">
        <w:rPr>
          <w:sz w:val="22"/>
          <w:szCs w:val="22"/>
        </w:rPr>
        <w:t xml:space="preserve">LEADER </w:t>
      </w:r>
      <w:r w:rsidR="004E6B4B">
        <w:rPr>
          <w:sz w:val="22"/>
          <w:szCs w:val="22"/>
        </w:rPr>
        <w:t xml:space="preserve">Elukeskkonna arendamise meetmest. Kohalikust </w:t>
      </w:r>
      <w:r w:rsidR="006D2276">
        <w:rPr>
          <w:sz w:val="22"/>
          <w:szCs w:val="22"/>
        </w:rPr>
        <w:t>LEADER</w:t>
      </w:r>
      <w:r w:rsidR="00C369F3">
        <w:rPr>
          <w:sz w:val="22"/>
          <w:szCs w:val="22"/>
        </w:rPr>
        <w:t xml:space="preserve"> </w:t>
      </w:r>
      <w:r w:rsidR="003D2F5D">
        <w:rPr>
          <w:sz w:val="22"/>
          <w:szCs w:val="22"/>
        </w:rPr>
        <w:t>tegevusgrupist Kirderanniku Koostöökogu saime positiivse otsuse 90%</w:t>
      </w:r>
      <w:r w:rsidR="001C405B">
        <w:rPr>
          <w:sz w:val="22"/>
          <w:szCs w:val="22"/>
        </w:rPr>
        <w:t xml:space="preserve"> ehk 19750,95 euro katmiseks.</w:t>
      </w:r>
      <w:r w:rsidR="009130D4">
        <w:rPr>
          <w:sz w:val="22"/>
          <w:szCs w:val="22"/>
        </w:rPr>
        <w:t xml:space="preserve"> Pärast positiivse otsuse saamist alustasime taastetöödega.</w:t>
      </w:r>
    </w:p>
    <w:p w14:paraId="142099DA" w14:textId="355052EA" w:rsidR="009130D4" w:rsidRDefault="009130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Kahjuks PRIA </w:t>
      </w:r>
      <w:r w:rsidR="002B0ED3">
        <w:rPr>
          <w:sz w:val="22"/>
          <w:szCs w:val="22"/>
        </w:rPr>
        <w:t xml:space="preserve">järelkontrolli käigus tehti eelotsus </w:t>
      </w:r>
      <w:r w:rsidR="00013E89">
        <w:rPr>
          <w:sz w:val="22"/>
          <w:szCs w:val="22"/>
        </w:rPr>
        <w:t xml:space="preserve">juba </w:t>
      </w:r>
      <w:r w:rsidR="002B0ED3">
        <w:rPr>
          <w:sz w:val="22"/>
          <w:szCs w:val="22"/>
        </w:rPr>
        <w:t>tehtud positiivse finantseerimisotsuse</w:t>
      </w:r>
      <w:r w:rsidR="00013E89">
        <w:rPr>
          <w:sz w:val="22"/>
          <w:szCs w:val="22"/>
        </w:rPr>
        <w:t xml:space="preserve"> muutmiseks, põhjuseks </w:t>
      </w:r>
      <w:r w:rsidR="009F23ED">
        <w:rPr>
          <w:sz w:val="22"/>
          <w:szCs w:val="22"/>
        </w:rPr>
        <w:t xml:space="preserve">toodi </w:t>
      </w:r>
      <w:r w:rsidR="0039066C">
        <w:rPr>
          <w:sz w:val="22"/>
          <w:szCs w:val="22"/>
        </w:rPr>
        <w:t>asjaolu</w:t>
      </w:r>
      <w:r w:rsidR="009F23ED">
        <w:rPr>
          <w:sz w:val="22"/>
          <w:szCs w:val="22"/>
        </w:rPr>
        <w:t>, et taotletud taastetööd ei ole ikkagi abikõlbulikud.</w:t>
      </w:r>
      <w:r w:rsidR="0039066C">
        <w:rPr>
          <w:sz w:val="22"/>
          <w:szCs w:val="22"/>
        </w:rPr>
        <w:t xml:space="preserve"> Vaidlustasime PRIA eelotsuse ning </w:t>
      </w:r>
      <w:r w:rsidR="00617A22">
        <w:rPr>
          <w:sz w:val="22"/>
          <w:szCs w:val="22"/>
        </w:rPr>
        <w:t>nüüd on lõplik otsustamine edasi lükatud.</w:t>
      </w:r>
    </w:p>
    <w:p w14:paraId="663541D0" w14:textId="77777777" w:rsidR="00B07100" w:rsidRDefault="00B07100">
      <w:pPr>
        <w:jc w:val="both"/>
        <w:rPr>
          <w:sz w:val="22"/>
          <w:szCs w:val="22"/>
        </w:rPr>
      </w:pPr>
    </w:p>
    <w:p w14:paraId="3FD28BD0" w14:textId="040FE6EF" w:rsidR="00B07100" w:rsidRDefault="00B07100" w:rsidP="00FE7546">
      <w:pPr>
        <w:jc w:val="both"/>
        <w:rPr>
          <w:sz w:val="22"/>
          <w:szCs w:val="22"/>
        </w:rPr>
      </w:pPr>
      <w:r w:rsidRPr="00FE7546">
        <w:rPr>
          <w:sz w:val="22"/>
          <w:szCs w:val="22"/>
        </w:rPr>
        <w:t xml:space="preserve">Seetõttu palume </w:t>
      </w:r>
      <w:proofErr w:type="spellStart"/>
      <w:r w:rsidRPr="00FE7546">
        <w:rPr>
          <w:sz w:val="22"/>
          <w:szCs w:val="22"/>
        </w:rPr>
        <w:t>PPA-lt</w:t>
      </w:r>
      <w:proofErr w:type="spellEnd"/>
      <w:r w:rsidRPr="00FE7546">
        <w:rPr>
          <w:sz w:val="22"/>
          <w:szCs w:val="22"/>
        </w:rPr>
        <w:t xml:space="preserve"> arendustoetust alljärgnevalt:</w:t>
      </w:r>
    </w:p>
    <w:p w14:paraId="7FF014F5" w14:textId="666B666F" w:rsidR="00FE7546" w:rsidRDefault="007767DC" w:rsidP="00FE7546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FE7546">
        <w:rPr>
          <w:sz w:val="22"/>
          <w:szCs w:val="22"/>
        </w:rPr>
        <w:t xml:space="preserve">ui PRIA peaks tegema negatiivse otsuse, palume </w:t>
      </w:r>
      <w:proofErr w:type="spellStart"/>
      <w:r w:rsidR="00FE7546">
        <w:rPr>
          <w:sz w:val="22"/>
          <w:szCs w:val="22"/>
        </w:rPr>
        <w:t>PPA-lt</w:t>
      </w:r>
      <w:proofErr w:type="spellEnd"/>
      <w:r w:rsidR="00FE7546">
        <w:rPr>
          <w:sz w:val="22"/>
          <w:szCs w:val="22"/>
        </w:rPr>
        <w:t xml:space="preserve"> toetust </w:t>
      </w:r>
      <w:r w:rsidR="00FE7546" w:rsidRPr="00AD7B29">
        <w:rPr>
          <w:b/>
          <w:bCs/>
          <w:sz w:val="22"/>
          <w:szCs w:val="22"/>
        </w:rPr>
        <w:t>10 000 eurot</w:t>
      </w:r>
      <w:r>
        <w:rPr>
          <w:sz w:val="22"/>
          <w:szCs w:val="22"/>
        </w:rPr>
        <w:t>, mis moodustab 45,6% kogu investeeringust;</w:t>
      </w:r>
    </w:p>
    <w:p w14:paraId="5783690D" w14:textId="6923A3F1" w:rsidR="007767DC" w:rsidRPr="00FE7546" w:rsidRDefault="007767DC" w:rsidP="00FE7546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kui PRIA teeb positiivse otsuse, palume </w:t>
      </w:r>
      <w:proofErr w:type="spellStart"/>
      <w:r>
        <w:rPr>
          <w:sz w:val="22"/>
          <w:szCs w:val="22"/>
        </w:rPr>
        <w:t>PPA-lt</w:t>
      </w:r>
      <w:proofErr w:type="spellEnd"/>
      <w:r>
        <w:rPr>
          <w:sz w:val="22"/>
          <w:szCs w:val="22"/>
        </w:rPr>
        <w:t xml:space="preserve"> toetust </w:t>
      </w:r>
      <w:r w:rsidR="00AB1CA4" w:rsidRPr="00AD7B29">
        <w:rPr>
          <w:b/>
          <w:bCs/>
          <w:sz w:val="22"/>
          <w:szCs w:val="22"/>
        </w:rPr>
        <w:t>2194,55 eurot</w:t>
      </w:r>
      <w:r w:rsidR="00AB1CA4">
        <w:rPr>
          <w:sz w:val="22"/>
          <w:szCs w:val="22"/>
        </w:rPr>
        <w:t>, mis moodustab 10% kogu investeeringu</w:t>
      </w:r>
      <w:r w:rsidR="00AD7B29">
        <w:rPr>
          <w:sz w:val="22"/>
          <w:szCs w:val="22"/>
        </w:rPr>
        <w:t>s</w:t>
      </w:r>
      <w:r w:rsidR="00AB1CA4">
        <w:rPr>
          <w:sz w:val="22"/>
          <w:szCs w:val="22"/>
        </w:rPr>
        <w:t>t ning kata</w:t>
      </w:r>
      <w:r w:rsidR="00AD7B29">
        <w:rPr>
          <w:sz w:val="22"/>
          <w:szCs w:val="22"/>
        </w:rPr>
        <w:t>b ühingu omafinantseeringu.</w:t>
      </w:r>
    </w:p>
    <w:p w14:paraId="0DE1F824" w14:textId="77777777" w:rsidR="00B07100" w:rsidRDefault="00B07100">
      <w:pPr>
        <w:jc w:val="both"/>
        <w:rPr>
          <w:sz w:val="22"/>
          <w:szCs w:val="22"/>
        </w:rPr>
      </w:pPr>
    </w:p>
    <w:p w14:paraId="02896942" w14:textId="6C97B8C7" w:rsidR="00F73AA6" w:rsidRPr="006D41E9" w:rsidRDefault="00F73AA6">
      <w:pPr>
        <w:jc w:val="both"/>
        <w:rPr>
          <w:rFonts w:hint="eastAsia"/>
          <w:sz w:val="22"/>
          <w:szCs w:val="22"/>
        </w:rPr>
      </w:pPr>
    </w:p>
    <w:p w14:paraId="5A917E14" w14:textId="74EA1991" w:rsidR="00F73AA6" w:rsidRPr="006D41E9" w:rsidRDefault="00F73AA6">
      <w:pPr>
        <w:jc w:val="both"/>
        <w:rPr>
          <w:rFonts w:hint="eastAsia"/>
          <w:b/>
          <w:bCs/>
          <w:sz w:val="22"/>
          <w:szCs w:val="22"/>
          <w:u w:val="single"/>
        </w:rPr>
      </w:pPr>
      <w:r w:rsidRPr="006D41E9">
        <w:rPr>
          <w:b/>
          <w:bCs/>
          <w:sz w:val="22"/>
          <w:szCs w:val="22"/>
          <w:u w:val="single"/>
        </w:rPr>
        <w:t xml:space="preserve">Tegevuste ajakava </w:t>
      </w:r>
    </w:p>
    <w:p w14:paraId="53E3B9B3" w14:textId="77777777" w:rsidR="00444E72" w:rsidRDefault="00444E72">
      <w:pPr>
        <w:jc w:val="both"/>
        <w:rPr>
          <w:sz w:val="22"/>
          <w:szCs w:val="22"/>
          <w:u w:val="single"/>
        </w:rPr>
      </w:pPr>
    </w:p>
    <w:p w14:paraId="1398A628" w14:textId="44A8785F" w:rsidR="00F73AA6" w:rsidRPr="00FB00C3" w:rsidRDefault="00B61703">
      <w:pPr>
        <w:jc w:val="both"/>
        <w:rPr>
          <w:rFonts w:hint="eastAsia"/>
          <w:sz w:val="22"/>
          <w:szCs w:val="22"/>
        </w:rPr>
      </w:pPr>
      <w:r w:rsidRPr="00FB00C3">
        <w:rPr>
          <w:sz w:val="22"/>
          <w:szCs w:val="22"/>
        </w:rPr>
        <w:lastRenderedPageBreak/>
        <w:t>Taastetööd saavad valmis märtsis 2024.a.</w:t>
      </w:r>
    </w:p>
    <w:p w14:paraId="6ED79C44" w14:textId="77777777" w:rsidR="003406BC" w:rsidRPr="006D41E9" w:rsidRDefault="003406BC">
      <w:pPr>
        <w:jc w:val="both"/>
        <w:rPr>
          <w:rFonts w:hint="eastAsia"/>
          <w:sz w:val="22"/>
          <w:szCs w:val="22"/>
        </w:rPr>
      </w:pPr>
    </w:p>
    <w:p w14:paraId="7BE9D0C5" w14:textId="77777777" w:rsidR="003406BC" w:rsidRPr="006D41E9" w:rsidRDefault="003406BC">
      <w:pPr>
        <w:jc w:val="both"/>
        <w:rPr>
          <w:rFonts w:hint="eastAsia"/>
          <w:b/>
          <w:bCs/>
          <w:sz w:val="22"/>
          <w:szCs w:val="22"/>
          <w:u w:val="single"/>
        </w:rPr>
      </w:pPr>
      <w:r w:rsidRPr="006D41E9">
        <w:rPr>
          <w:b/>
          <w:bCs/>
          <w:sz w:val="22"/>
          <w:szCs w:val="22"/>
          <w:u w:val="single"/>
        </w:rPr>
        <w:t xml:space="preserve">Hinnapakkumiste või kuludokumentide lisamine </w:t>
      </w:r>
    </w:p>
    <w:p w14:paraId="5F237EE8" w14:textId="77777777" w:rsidR="003406BC" w:rsidRPr="006D41E9" w:rsidRDefault="003406BC">
      <w:pPr>
        <w:jc w:val="both"/>
        <w:rPr>
          <w:rFonts w:hint="eastAsia"/>
          <w:sz w:val="22"/>
          <w:szCs w:val="22"/>
        </w:rPr>
      </w:pPr>
    </w:p>
    <w:p w14:paraId="73A4247F" w14:textId="0F150FF1" w:rsidR="007B25B0" w:rsidRPr="006D41E9" w:rsidRDefault="003406BC">
      <w:pPr>
        <w:jc w:val="both"/>
        <w:rPr>
          <w:rFonts w:hint="eastAsia"/>
          <w:sz w:val="22"/>
          <w:szCs w:val="22"/>
        </w:rPr>
      </w:pPr>
      <w:r w:rsidRPr="006D41E9">
        <w:rPr>
          <w:sz w:val="22"/>
          <w:szCs w:val="22"/>
        </w:rPr>
        <w:t xml:space="preserve">Taotlusele on lisatud </w:t>
      </w:r>
      <w:r w:rsidR="00235275">
        <w:rPr>
          <w:sz w:val="22"/>
          <w:szCs w:val="22"/>
        </w:rPr>
        <w:t xml:space="preserve">kaks </w:t>
      </w:r>
      <w:r w:rsidR="00371E7C">
        <w:rPr>
          <w:sz w:val="22"/>
          <w:szCs w:val="22"/>
        </w:rPr>
        <w:t>võrreldavat</w:t>
      </w:r>
      <w:r w:rsidR="00235275">
        <w:rPr>
          <w:sz w:val="22"/>
          <w:szCs w:val="22"/>
        </w:rPr>
        <w:t xml:space="preserve"> hinnapakkumist</w:t>
      </w:r>
      <w:r w:rsidR="00CF7373">
        <w:rPr>
          <w:sz w:val="22"/>
          <w:szCs w:val="22"/>
        </w:rPr>
        <w:t>.</w:t>
      </w:r>
      <w:r w:rsidRPr="006D41E9">
        <w:rPr>
          <w:sz w:val="22"/>
          <w:szCs w:val="22"/>
        </w:rPr>
        <w:t xml:space="preserve"> MTÜ ei võtnud kolme hinnapakkumist</w:t>
      </w:r>
      <w:r w:rsidR="00371E7C">
        <w:rPr>
          <w:sz w:val="22"/>
          <w:szCs w:val="22"/>
        </w:rPr>
        <w:t xml:space="preserve"> põhjusel</w:t>
      </w:r>
      <w:r w:rsidRPr="006D41E9">
        <w:rPr>
          <w:sz w:val="22"/>
          <w:szCs w:val="22"/>
        </w:rPr>
        <w:t xml:space="preserve">, </w:t>
      </w:r>
      <w:r w:rsidR="00866618">
        <w:rPr>
          <w:sz w:val="22"/>
          <w:szCs w:val="22"/>
        </w:rPr>
        <w:t>et</w:t>
      </w:r>
      <w:r w:rsidRPr="006D41E9">
        <w:rPr>
          <w:sz w:val="22"/>
          <w:szCs w:val="22"/>
        </w:rPr>
        <w:t xml:space="preserve"> </w:t>
      </w:r>
      <w:r w:rsidR="00122022">
        <w:rPr>
          <w:sz w:val="22"/>
          <w:szCs w:val="22"/>
        </w:rPr>
        <w:t xml:space="preserve">selliste tööde teostajaid turul väga palju ei ole. </w:t>
      </w:r>
    </w:p>
    <w:p w14:paraId="0EE3E238" w14:textId="576A2468" w:rsidR="00AB7A41" w:rsidRPr="006D41E9" w:rsidRDefault="00AB7A41">
      <w:pPr>
        <w:jc w:val="both"/>
        <w:rPr>
          <w:rFonts w:hint="eastAsia"/>
          <w:sz w:val="22"/>
          <w:szCs w:val="22"/>
        </w:rPr>
      </w:pPr>
    </w:p>
    <w:p w14:paraId="4423EDF2" w14:textId="77777777" w:rsidR="00A7784F" w:rsidRPr="006D41E9" w:rsidRDefault="00A7784F">
      <w:pPr>
        <w:jc w:val="both"/>
        <w:rPr>
          <w:rFonts w:hint="eastAsia"/>
          <w:color w:val="11123F"/>
          <w:sz w:val="22"/>
          <w:szCs w:val="22"/>
        </w:rPr>
      </w:pPr>
    </w:p>
    <w:p w14:paraId="316C48F6" w14:textId="77777777" w:rsidR="00A7784F" w:rsidRPr="006D41E9" w:rsidRDefault="005145D7">
      <w:pPr>
        <w:jc w:val="both"/>
        <w:rPr>
          <w:rFonts w:hint="eastAsia"/>
          <w:sz w:val="22"/>
          <w:szCs w:val="22"/>
        </w:rPr>
      </w:pPr>
      <w:r w:rsidRPr="006D41E9">
        <w:rPr>
          <w:color w:val="11123F"/>
          <w:sz w:val="22"/>
          <w:szCs w:val="22"/>
        </w:rPr>
        <w:t>Lugupidamisega</w:t>
      </w:r>
    </w:p>
    <w:p w14:paraId="2237DC5C" w14:textId="77777777" w:rsidR="00A7784F" w:rsidRPr="006D41E9" w:rsidRDefault="00A7784F">
      <w:pPr>
        <w:jc w:val="both"/>
        <w:rPr>
          <w:rFonts w:hint="eastAsia"/>
          <w:color w:val="11123F"/>
          <w:sz w:val="22"/>
          <w:szCs w:val="22"/>
        </w:rPr>
      </w:pPr>
    </w:p>
    <w:p w14:paraId="540D8AD7" w14:textId="77777777" w:rsidR="00A7784F" w:rsidRPr="006D41E9" w:rsidRDefault="005145D7">
      <w:pPr>
        <w:jc w:val="both"/>
        <w:rPr>
          <w:rFonts w:hint="eastAsia"/>
          <w:i/>
          <w:iCs/>
          <w:sz w:val="22"/>
          <w:szCs w:val="22"/>
        </w:rPr>
      </w:pPr>
      <w:r w:rsidRPr="006D41E9">
        <w:rPr>
          <w:i/>
          <w:iCs/>
          <w:color w:val="11123F"/>
          <w:sz w:val="22"/>
          <w:szCs w:val="22"/>
        </w:rPr>
        <w:t>/ allkirjastatud digitaalselt /</w:t>
      </w:r>
    </w:p>
    <w:p w14:paraId="269436A5" w14:textId="77777777" w:rsidR="00A7784F" w:rsidRPr="006D41E9" w:rsidRDefault="00A7784F">
      <w:pPr>
        <w:jc w:val="both"/>
        <w:rPr>
          <w:rFonts w:hint="eastAsia"/>
          <w:color w:val="11123F"/>
          <w:sz w:val="22"/>
          <w:szCs w:val="22"/>
        </w:rPr>
      </w:pPr>
    </w:p>
    <w:p w14:paraId="1F0117EF" w14:textId="77777777" w:rsidR="00A7784F" w:rsidRPr="006D41E9" w:rsidRDefault="005145D7">
      <w:pPr>
        <w:jc w:val="both"/>
        <w:rPr>
          <w:rFonts w:hint="eastAsia"/>
          <w:sz w:val="22"/>
          <w:szCs w:val="22"/>
        </w:rPr>
      </w:pPr>
      <w:r w:rsidRPr="006D41E9">
        <w:rPr>
          <w:color w:val="11123F"/>
          <w:sz w:val="22"/>
          <w:szCs w:val="22"/>
        </w:rPr>
        <w:t>Meelis Goldberg</w:t>
      </w:r>
    </w:p>
    <w:p w14:paraId="07FFE3F3" w14:textId="77777777" w:rsidR="00A7784F" w:rsidRPr="006D41E9" w:rsidRDefault="005145D7">
      <w:pPr>
        <w:jc w:val="both"/>
        <w:rPr>
          <w:rFonts w:hint="eastAsia"/>
          <w:sz w:val="22"/>
          <w:szCs w:val="22"/>
        </w:rPr>
      </w:pPr>
      <w:r w:rsidRPr="006D41E9">
        <w:rPr>
          <w:color w:val="11123F"/>
          <w:sz w:val="22"/>
          <w:szCs w:val="22"/>
        </w:rPr>
        <w:t>juhatuse liige</w:t>
      </w:r>
    </w:p>
    <w:p w14:paraId="7ED8969F" w14:textId="5C812B49" w:rsidR="00A7784F" w:rsidRPr="006D41E9" w:rsidRDefault="005145D7">
      <w:pPr>
        <w:jc w:val="both"/>
        <w:rPr>
          <w:rFonts w:hint="eastAsia"/>
          <w:color w:val="11123F"/>
          <w:sz w:val="22"/>
          <w:szCs w:val="22"/>
        </w:rPr>
      </w:pPr>
      <w:r w:rsidRPr="006D41E9">
        <w:rPr>
          <w:color w:val="11123F"/>
          <w:sz w:val="22"/>
          <w:szCs w:val="22"/>
        </w:rPr>
        <w:t>MTÜ Toila Merepääste</w:t>
      </w:r>
    </w:p>
    <w:p w14:paraId="00326F90" w14:textId="552C74A6" w:rsidR="00077F75" w:rsidRPr="006D41E9" w:rsidRDefault="007A720D">
      <w:pPr>
        <w:jc w:val="both"/>
        <w:rPr>
          <w:rFonts w:hint="eastAsia"/>
          <w:color w:val="11123F"/>
          <w:sz w:val="22"/>
          <w:szCs w:val="22"/>
        </w:rPr>
      </w:pPr>
      <w:r w:rsidRPr="006D41E9">
        <w:rPr>
          <w:color w:val="11123F"/>
          <w:sz w:val="22"/>
          <w:szCs w:val="22"/>
        </w:rPr>
        <w:t>+372 5087034</w:t>
      </w:r>
    </w:p>
    <w:p w14:paraId="5EBF1687" w14:textId="296F6E62" w:rsidR="007A720D" w:rsidRPr="006D41E9" w:rsidRDefault="007A720D">
      <w:pPr>
        <w:jc w:val="both"/>
        <w:rPr>
          <w:rFonts w:hint="eastAsia"/>
          <w:sz w:val="22"/>
          <w:szCs w:val="22"/>
        </w:rPr>
      </w:pPr>
      <w:r w:rsidRPr="006D41E9">
        <w:rPr>
          <w:color w:val="11123F"/>
          <w:sz w:val="22"/>
          <w:szCs w:val="22"/>
        </w:rPr>
        <w:t>toila@sar.ee</w:t>
      </w:r>
    </w:p>
    <w:p w14:paraId="56175E8D" w14:textId="77777777" w:rsidR="00A7784F" w:rsidRPr="006D41E9" w:rsidRDefault="00A7784F">
      <w:pPr>
        <w:jc w:val="both"/>
        <w:rPr>
          <w:rFonts w:hint="eastAsia"/>
          <w:color w:val="11123F"/>
          <w:sz w:val="22"/>
          <w:szCs w:val="22"/>
        </w:rPr>
      </w:pPr>
    </w:p>
    <w:p w14:paraId="7E28A04E" w14:textId="77777777" w:rsidR="00A7784F" w:rsidRPr="006D41E9" w:rsidRDefault="00A7784F">
      <w:pPr>
        <w:jc w:val="both"/>
        <w:rPr>
          <w:rFonts w:hint="eastAsia"/>
          <w:color w:val="11123F"/>
          <w:sz w:val="22"/>
          <w:szCs w:val="22"/>
        </w:rPr>
      </w:pPr>
    </w:p>
    <w:p w14:paraId="779AD960" w14:textId="77777777" w:rsidR="00A7784F" w:rsidRPr="006D41E9" w:rsidRDefault="00A7784F">
      <w:pPr>
        <w:jc w:val="both"/>
        <w:rPr>
          <w:rFonts w:hint="eastAsia"/>
          <w:color w:val="11123F"/>
          <w:sz w:val="22"/>
          <w:szCs w:val="22"/>
        </w:rPr>
      </w:pPr>
    </w:p>
    <w:p w14:paraId="0A92409F" w14:textId="2A101849" w:rsidR="00A7784F" w:rsidRPr="006D41E9" w:rsidRDefault="00A7784F">
      <w:pPr>
        <w:jc w:val="both"/>
        <w:rPr>
          <w:rFonts w:hint="eastAsia"/>
          <w:color w:val="11123F"/>
          <w:sz w:val="22"/>
          <w:szCs w:val="22"/>
        </w:rPr>
      </w:pPr>
    </w:p>
    <w:sectPr w:rsidR="00A7784F" w:rsidRPr="006D41E9">
      <w:headerReference w:type="default" r:id="rId7"/>
      <w:footerReference w:type="default" r:id="rId8"/>
      <w:pgSz w:w="11906" w:h="16838"/>
      <w:pgMar w:top="1134" w:right="1134" w:bottom="1134" w:left="1701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5F08E" w14:textId="77777777" w:rsidR="00D92C02" w:rsidRDefault="00D92C02">
      <w:pPr>
        <w:rPr>
          <w:rFonts w:hint="eastAsia"/>
        </w:rPr>
      </w:pPr>
      <w:r>
        <w:separator/>
      </w:r>
    </w:p>
  </w:endnote>
  <w:endnote w:type="continuationSeparator" w:id="0">
    <w:p w14:paraId="2166CE53" w14:textId="77777777" w:rsidR="00D92C02" w:rsidRDefault="00D92C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D6A59" w14:textId="77777777" w:rsidR="00A7784F" w:rsidRDefault="00A7784F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D6EE" w14:textId="77777777" w:rsidR="00D92C02" w:rsidRDefault="00D92C02">
      <w:pPr>
        <w:rPr>
          <w:rFonts w:hint="eastAsia"/>
        </w:rPr>
      </w:pPr>
      <w:r>
        <w:separator/>
      </w:r>
    </w:p>
  </w:footnote>
  <w:footnote w:type="continuationSeparator" w:id="0">
    <w:p w14:paraId="024FF24A" w14:textId="77777777" w:rsidR="00D92C02" w:rsidRDefault="00D92C0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8CC3" w14:textId="77777777" w:rsidR="00A7784F" w:rsidRDefault="00A7784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A45BA"/>
    <w:multiLevelType w:val="hybridMultilevel"/>
    <w:tmpl w:val="0E92430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550A5"/>
    <w:multiLevelType w:val="hybridMultilevel"/>
    <w:tmpl w:val="3C8C2F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E10FC"/>
    <w:multiLevelType w:val="multilevel"/>
    <w:tmpl w:val="A71C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CD6428D"/>
    <w:multiLevelType w:val="hybridMultilevel"/>
    <w:tmpl w:val="65587E5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01B6B"/>
    <w:multiLevelType w:val="multilevel"/>
    <w:tmpl w:val="2E889F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2946550">
    <w:abstractNumId w:val="2"/>
  </w:num>
  <w:num w:numId="2" w16cid:durableId="446048488">
    <w:abstractNumId w:val="4"/>
  </w:num>
  <w:num w:numId="3" w16cid:durableId="186716958">
    <w:abstractNumId w:val="1"/>
  </w:num>
  <w:num w:numId="4" w16cid:durableId="747920250">
    <w:abstractNumId w:val="3"/>
  </w:num>
  <w:num w:numId="5" w16cid:durableId="25775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84F"/>
    <w:rsid w:val="00007698"/>
    <w:rsid w:val="00013E89"/>
    <w:rsid w:val="00032633"/>
    <w:rsid w:val="00034F3E"/>
    <w:rsid w:val="00046D50"/>
    <w:rsid w:val="00077F75"/>
    <w:rsid w:val="00087CE3"/>
    <w:rsid w:val="000A488E"/>
    <w:rsid w:val="00122022"/>
    <w:rsid w:val="0012401D"/>
    <w:rsid w:val="00127ECD"/>
    <w:rsid w:val="00171E66"/>
    <w:rsid w:val="001A7F0D"/>
    <w:rsid w:val="001C405B"/>
    <w:rsid w:val="001F2A66"/>
    <w:rsid w:val="002028E4"/>
    <w:rsid w:val="00235275"/>
    <w:rsid w:val="00240938"/>
    <w:rsid w:val="002B0ED3"/>
    <w:rsid w:val="002B192F"/>
    <w:rsid w:val="002C3D73"/>
    <w:rsid w:val="0031238A"/>
    <w:rsid w:val="003406BC"/>
    <w:rsid w:val="00371E7C"/>
    <w:rsid w:val="00385590"/>
    <w:rsid w:val="003903F4"/>
    <w:rsid w:val="0039066C"/>
    <w:rsid w:val="00397CF9"/>
    <w:rsid w:val="003D2F5D"/>
    <w:rsid w:val="003E7A0A"/>
    <w:rsid w:val="004214BD"/>
    <w:rsid w:val="00433F91"/>
    <w:rsid w:val="00444E72"/>
    <w:rsid w:val="00451107"/>
    <w:rsid w:val="00462A34"/>
    <w:rsid w:val="004745A4"/>
    <w:rsid w:val="00487068"/>
    <w:rsid w:val="00497D62"/>
    <w:rsid w:val="004D7327"/>
    <w:rsid w:val="004E32A4"/>
    <w:rsid w:val="004E6B4B"/>
    <w:rsid w:val="004F58D9"/>
    <w:rsid w:val="00501156"/>
    <w:rsid w:val="005145D7"/>
    <w:rsid w:val="00517B9B"/>
    <w:rsid w:val="00536577"/>
    <w:rsid w:val="005758A5"/>
    <w:rsid w:val="005821DB"/>
    <w:rsid w:val="0061225D"/>
    <w:rsid w:val="00615646"/>
    <w:rsid w:val="00617A22"/>
    <w:rsid w:val="00632B5E"/>
    <w:rsid w:val="006476DD"/>
    <w:rsid w:val="00665B3A"/>
    <w:rsid w:val="00690E33"/>
    <w:rsid w:val="006D2276"/>
    <w:rsid w:val="006D41E9"/>
    <w:rsid w:val="007767DC"/>
    <w:rsid w:val="007A5FEA"/>
    <w:rsid w:val="007A720D"/>
    <w:rsid w:val="007B25B0"/>
    <w:rsid w:val="00817EB1"/>
    <w:rsid w:val="00866618"/>
    <w:rsid w:val="00894FC7"/>
    <w:rsid w:val="008A2CBB"/>
    <w:rsid w:val="008A5D16"/>
    <w:rsid w:val="008C07C5"/>
    <w:rsid w:val="008C51E8"/>
    <w:rsid w:val="009130D4"/>
    <w:rsid w:val="00946805"/>
    <w:rsid w:val="00951011"/>
    <w:rsid w:val="00990605"/>
    <w:rsid w:val="00992772"/>
    <w:rsid w:val="009B76F2"/>
    <w:rsid w:val="009F23ED"/>
    <w:rsid w:val="00A10324"/>
    <w:rsid w:val="00A16458"/>
    <w:rsid w:val="00A25B62"/>
    <w:rsid w:val="00A5758E"/>
    <w:rsid w:val="00A7784F"/>
    <w:rsid w:val="00A81AE3"/>
    <w:rsid w:val="00AB1CA4"/>
    <w:rsid w:val="00AB7A41"/>
    <w:rsid w:val="00AD7B29"/>
    <w:rsid w:val="00AE389C"/>
    <w:rsid w:val="00B0217F"/>
    <w:rsid w:val="00B04BE3"/>
    <w:rsid w:val="00B05B8A"/>
    <w:rsid w:val="00B07100"/>
    <w:rsid w:val="00B20EA0"/>
    <w:rsid w:val="00B20F5B"/>
    <w:rsid w:val="00B3724E"/>
    <w:rsid w:val="00B61703"/>
    <w:rsid w:val="00B65A8C"/>
    <w:rsid w:val="00BB4A85"/>
    <w:rsid w:val="00BC0002"/>
    <w:rsid w:val="00BE211F"/>
    <w:rsid w:val="00BF5746"/>
    <w:rsid w:val="00C3581B"/>
    <w:rsid w:val="00C369F3"/>
    <w:rsid w:val="00C37AE4"/>
    <w:rsid w:val="00C51FD4"/>
    <w:rsid w:val="00C52B54"/>
    <w:rsid w:val="00C53FCC"/>
    <w:rsid w:val="00C62176"/>
    <w:rsid w:val="00CF20C6"/>
    <w:rsid w:val="00CF7373"/>
    <w:rsid w:val="00D22345"/>
    <w:rsid w:val="00D241A9"/>
    <w:rsid w:val="00D3694A"/>
    <w:rsid w:val="00D92C02"/>
    <w:rsid w:val="00DB0D3C"/>
    <w:rsid w:val="00DB76AC"/>
    <w:rsid w:val="00DE4836"/>
    <w:rsid w:val="00E0305B"/>
    <w:rsid w:val="00E145B4"/>
    <w:rsid w:val="00E316CA"/>
    <w:rsid w:val="00E73160"/>
    <w:rsid w:val="00E77B75"/>
    <w:rsid w:val="00EB6718"/>
    <w:rsid w:val="00F246A0"/>
    <w:rsid w:val="00F27393"/>
    <w:rsid w:val="00F27D0E"/>
    <w:rsid w:val="00F46A63"/>
    <w:rsid w:val="00F50A31"/>
    <w:rsid w:val="00F73AA6"/>
    <w:rsid w:val="00F87792"/>
    <w:rsid w:val="00FB00C3"/>
    <w:rsid w:val="00FB0EB1"/>
    <w:rsid w:val="00FC5302"/>
    <w:rsid w:val="00FC71F9"/>
    <w:rsid w:val="00FE2536"/>
    <w:rsid w:val="00FE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4B38"/>
  <w15:docId w15:val="{A315B46D-A059-4271-95E6-B76E936A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et-E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7C306A"/>
    <w:rPr>
      <w:rFonts w:cs="Mangal"/>
      <w:szCs w:val="21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sz w:val="22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color w:val="11123F"/>
      <w:sz w:val="22"/>
      <w:szCs w:val="24"/>
    </w:rPr>
  </w:style>
  <w:style w:type="paragraph" w:customStyle="1" w:styleId="Heading">
    <w:name w:val="Heading"/>
    <w:basedOn w:val="Normal"/>
    <w:next w:val="BodyText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BodyText1">
    <w:name w:val="Body Text1"/>
    <w:basedOn w:val="Normal"/>
    <w:pPr>
      <w:spacing w:after="140" w:line="288" w:lineRule="auto"/>
    </w:pPr>
  </w:style>
  <w:style w:type="paragraph" w:styleId="List">
    <w:name w:val="List"/>
    <w:basedOn w:val="BodyText1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unhideWhenUsed/>
    <w:rsid w:val="007C306A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9277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519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 Vernik</dc:creator>
  <dc:description/>
  <cp:lastModifiedBy>Meelis Goldberg</cp:lastModifiedBy>
  <cp:revision>52</cp:revision>
  <dcterms:created xsi:type="dcterms:W3CDTF">2023-09-13T14:43:00Z</dcterms:created>
  <dcterms:modified xsi:type="dcterms:W3CDTF">2023-09-13T15:40:00Z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